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rpodeltesto"/>
        <w:spacing w:lineRule="auto" w:line="288" w:before="0" w:after="0"/>
        <w:jc w:val="center"/>
        <w:rPr>
          <w:rFonts w:ascii="Arial" w:hAnsi="Arial" w:cs="Arial"/>
          <w:b/>
          <w:b/>
          <w:color w:val="000000"/>
          <w:sz w:val="28"/>
          <w:u w:val="single"/>
        </w:rPr>
      </w:pPr>
      <w:r>
        <w:rPr>
          <w:rFonts w:cs="Arial" w:ascii="Arial" w:hAnsi="Arial"/>
          <w:b/>
          <w:color w:val="000000"/>
          <w:sz w:val="28"/>
          <w:u w:val="single"/>
        </w:rPr>
      </w:r>
    </w:p>
    <w:p>
      <w:pPr>
        <w:pStyle w:val="Corpodeltesto"/>
        <w:spacing w:lineRule="auto" w:line="288" w:before="0" w:after="0"/>
        <w:jc w:val="center"/>
        <w:rPr>
          <w:rFonts w:ascii="Arial" w:hAnsi="Arial" w:cs="Arial"/>
          <w:b/>
          <w:b/>
          <w:color w:val="000000"/>
          <w:sz w:val="28"/>
          <w:u w:val="single"/>
        </w:rPr>
      </w:pPr>
      <w:r>
        <w:rPr>
          <w:rFonts w:cs="Arial" w:ascii="Arial" w:hAnsi="Arial"/>
          <w:b/>
          <w:color w:val="000000"/>
          <w:sz w:val="28"/>
          <w:u w:val="single"/>
        </w:rPr>
        <w:drawing>
          <wp:anchor behindDoc="0" distT="0" distB="0" distL="0" distR="0" simplePos="0" locked="0" layoutInCell="0" allowOverlap="1" relativeHeight="2">
            <wp:simplePos x="0" y="0"/>
            <wp:positionH relativeFrom="margin">
              <wp:align>center</wp:align>
            </wp:positionH>
            <wp:positionV relativeFrom="margin">
              <wp:align>top</wp:align>
            </wp:positionV>
            <wp:extent cx="5652135" cy="1346200"/>
            <wp:effectExtent l="0" t="0" r="0" b="0"/>
            <wp:wrapSquare wrapText="bothSides"/>
            <wp:docPr id="1" name="image3.jp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jpg" descr=""/>
                    <pic:cNvPicPr>
                      <a:picLocks noChangeAspect="1" noChangeArrowheads="1"/>
                    </pic:cNvPicPr>
                  </pic:nvPicPr>
                  <pic:blipFill>
                    <a:blip r:embed="rId2"/>
                    <a:stretch>
                      <a:fillRect/>
                    </a:stretch>
                  </pic:blipFill>
                  <pic:spPr bwMode="auto">
                    <a:xfrm>
                      <a:off x="0" y="0"/>
                      <a:ext cx="5652135" cy="1346200"/>
                    </a:xfrm>
                    <a:prstGeom prst="rect">
                      <a:avLst/>
                    </a:prstGeom>
                  </pic:spPr>
                </pic:pic>
              </a:graphicData>
            </a:graphic>
          </wp:anchor>
        </w:drawing>
      </w:r>
    </w:p>
    <w:p>
      <w:pPr>
        <w:pStyle w:val="Corpodeltesto"/>
        <w:spacing w:lineRule="auto" w:line="288" w:before="0" w:after="0"/>
        <w:rPr>
          <w:rFonts w:ascii="Arial" w:hAnsi="Arial" w:cs="Arial"/>
          <w:b/>
          <w:b/>
          <w:color w:val="000000"/>
          <w:sz w:val="28"/>
          <w:u w:val="single"/>
        </w:rPr>
      </w:pPr>
      <w:r>
        <w:rPr>
          <w:rFonts w:cs="Arial" w:ascii="Arial" w:hAnsi="Arial"/>
          <w:b/>
          <w:color w:val="000000"/>
          <w:sz w:val="28"/>
          <w:u w:val="single"/>
        </w:rPr>
      </w:r>
    </w:p>
    <w:p>
      <w:pPr>
        <w:pStyle w:val="Corpodeltesto"/>
        <w:spacing w:lineRule="auto" w:line="288" w:before="0" w:after="0"/>
        <w:jc w:val="center"/>
        <w:rPr>
          <w:rFonts w:ascii="Arial" w:hAnsi="Arial" w:cs="Arial"/>
          <w:b/>
          <w:b/>
          <w:color w:val="000000"/>
          <w:sz w:val="32"/>
          <w:szCs w:val="32"/>
        </w:rPr>
      </w:pPr>
      <w:r>
        <w:rPr>
          <w:rFonts w:cs="Arial" w:ascii="Arial" w:hAnsi="Arial"/>
          <w:b/>
          <w:color w:val="000000"/>
          <w:sz w:val="32"/>
          <w:szCs w:val="32"/>
        </w:rPr>
      </w:r>
    </w:p>
    <w:p>
      <w:pPr>
        <w:pStyle w:val="Corpodeltesto"/>
        <w:spacing w:lineRule="auto" w:line="288" w:before="0" w:after="0"/>
        <w:jc w:val="center"/>
        <w:rPr>
          <w:rFonts w:ascii="Arial" w:hAnsi="Arial" w:cs="Arial"/>
          <w:b/>
          <w:b/>
          <w:color w:val="000000"/>
          <w:sz w:val="32"/>
          <w:szCs w:val="32"/>
        </w:rPr>
      </w:pPr>
      <w:r>
        <w:rPr>
          <w:rFonts w:cs="Arial" w:ascii="Arial" w:hAnsi="Arial"/>
          <w:b/>
          <w:color w:val="000000"/>
          <w:sz w:val="32"/>
          <w:szCs w:val="32"/>
        </w:rPr>
      </w:r>
    </w:p>
    <w:p>
      <w:pPr>
        <w:pStyle w:val="Corpodeltesto"/>
        <w:spacing w:lineRule="auto" w:line="288" w:before="0" w:after="0"/>
        <w:jc w:val="center"/>
        <w:rPr>
          <w:rFonts w:ascii="Arial" w:hAnsi="Arial" w:cs="Arial"/>
          <w:b/>
          <w:b/>
          <w:color w:val="000000"/>
          <w:sz w:val="20"/>
          <w:szCs w:val="20"/>
        </w:rPr>
      </w:pPr>
      <w:r>
        <w:rPr>
          <w:rFonts w:cs="Arial" w:ascii="Arial" w:hAnsi="Arial"/>
          <w:b/>
          <w:color w:val="000000"/>
          <w:sz w:val="20"/>
          <w:szCs w:val="20"/>
        </w:rPr>
      </w:r>
    </w:p>
    <w:p>
      <w:pPr>
        <w:pStyle w:val="Corpodeltesto"/>
        <w:spacing w:lineRule="auto" w:line="288" w:before="0" w:after="0"/>
        <w:jc w:val="center"/>
        <w:rPr>
          <w:rFonts w:ascii="Rubik" w:hAnsi="Rubik"/>
          <w:sz w:val="20"/>
          <w:szCs w:val="20"/>
        </w:rPr>
      </w:pPr>
      <w:r>
        <w:rPr>
          <w:rFonts w:cs="Arial" w:ascii="Rubik" w:hAnsi="Rubik"/>
          <w:b/>
          <w:color w:val="000000"/>
          <w:sz w:val="20"/>
          <w:szCs w:val="20"/>
        </w:rPr>
        <w:t>COMUNICATO STAMPA</w:t>
      </w:r>
    </w:p>
    <w:p>
      <w:pPr>
        <w:pStyle w:val="Corpodeltesto"/>
        <w:spacing w:lineRule="auto" w:line="240"/>
        <w:jc w:val="center"/>
        <w:rPr>
          <w:rFonts w:ascii="Rubik" w:hAnsi="Rubik"/>
          <w:sz w:val="20"/>
          <w:szCs w:val="20"/>
        </w:rPr>
      </w:pPr>
      <w:r>
        <w:rPr>
          <w:rFonts w:cs="Arial" w:ascii="Rubik" w:hAnsi="Rubik"/>
          <w:b/>
          <w:color w:val="000000"/>
          <w:sz w:val="20"/>
          <w:szCs w:val="20"/>
        </w:rPr>
        <w:t>Giornata della Terra 2026: la campagna "A Buon Rendere" svela i 10 marchi responsabili del 65% dei rifiuti di bevande e chiede una soluzione strutturale</w:t>
      </w:r>
    </w:p>
    <w:p>
      <w:pPr>
        <w:pStyle w:val="Corpodeltesto"/>
        <w:spacing w:lineRule="auto" w:line="240"/>
        <w:jc w:val="left"/>
        <w:rPr/>
      </w:pPr>
      <w:r>
        <w:rPr>
          <w:rStyle w:val="Enfasi"/>
          <w:rFonts w:cs="Arial" w:ascii="Rubik" w:hAnsi="Rubik"/>
          <w:bCs/>
          <w:color w:val="000000"/>
          <w:sz w:val="20"/>
          <w:szCs w:val="20"/>
        </w:rPr>
        <w:t>Nonostante l'impegno costante di volontari e cittadini, l'inquinamento da contenitori per bevande in Italia rimane un'emergenza che richiede soluzioni strutturali. L'indagine annuale di "Brand Audit" condotta dalla campagna "A Buon Rendere" conferma una correlazione diretta tra i grandi marchi del mercato del beverage e i rifiuti che soffocano i territori. La Top Ten del littering italiano vede San Benedetto al primo posto per le acque minerali, Moretti /Heineken per la birra e Coca Cola e Red Bull per le bibite analcoliche.</w:t>
      </w:r>
      <w:r>
        <w:rPr>
          <w:rFonts w:cs="Arial" w:ascii="Rubik" w:hAnsi="Rubik"/>
          <w:bCs/>
          <w:i/>
          <w:iCs/>
          <w:color w:val="000000"/>
          <w:sz w:val="20"/>
          <w:szCs w:val="20"/>
        </w:rPr>
        <w:t xml:space="preserve"> </w:t>
      </w:r>
    </w:p>
    <w:p>
      <w:pPr>
        <w:pStyle w:val="Corpodeltesto"/>
        <w:spacing w:lineRule="auto" w:line="240"/>
        <w:jc w:val="left"/>
        <w:rPr>
          <w:sz w:val="18"/>
          <w:szCs w:val="18"/>
        </w:rPr>
      </w:pPr>
      <w:r>
        <w:rPr>
          <w:rFonts w:cs="Arial" w:ascii="Rubik" w:hAnsi="Rubik"/>
          <w:color w:val="000000"/>
          <w:sz w:val="18"/>
          <w:szCs w:val="18"/>
        </w:rPr>
        <w:t>In occasione della</w:t>
      </w:r>
      <w:r>
        <w:rPr>
          <w:rFonts w:cs="Arial" w:ascii="Rubik" w:hAnsi="Rubik"/>
          <w:b/>
          <w:bCs/>
          <w:color w:val="000000"/>
          <w:sz w:val="18"/>
          <w:szCs w:val="18"/>
        </w:rPr>
        <w:t xml:space="preserve"> Giornata della Terra 2026</w:t>
      </w:r>
      <w:r>
        <w:rPr>
          <w:rFonts w:cs="Arial" w:ascii="Rubik" w:hAnsi="Rubik"/>
          <w:color w:val="000000"/>
          <w:sz w:val="18"/>
          <w:szCs w:val="18"/>
        </w:rPr>
        <w:t>, la campagna “A Buon Rendere” rende noti i risultati dell’ultima indagine annuale di Brand Audit, che conferma come l’inquinamento da contenitori per bevande continui a rappresentare una delle principali criticità ambientali nel Paese.</w:t>
        <w:br/>
        <w:br/>
        <w:t>Nonostante il contributo costante di volontari, associazioni e cittadini impegnati nella raccolta dei rifiuti dispersi nell’ambiente, il fenomeno del littering in Italia resta un’emergenza che richiede interventi sistemici, capaci di agire sulle cause del problema e non soltanto sulle sue conseguenze.</w:t>
        <w:br/>
        <w:br/>
        <w:t xml:space="preserve">L’analisi evidenzia una correlazione significativa tra i principali marchi del comparto beverage e i rifiuti rinvenuti nei territori monitorati. In particolare, </w:t>
      </w:r>
      <w:r>
        <w:rPr>
          <w:rFonts w:cs="Arial" w:ascii="Rubik" w:hAnsi="Rubik"/>
          <w:b/>
          <w:bCs/>
          <w:color w:val="000000"/>
          <w:sz w:val="18"/>
          <w:szCs w:val="18"/>
        </w:rPr>
        <w:t>San Benedetto</w:t>
      </w:r>
      <w:r>
        <w:rPr>
          <w:rFonts w:cs="Arial" w:ascii="Rubik" w:hAnsi="Rubik"/>
          <w:color w:val="000000"/>
          <w:sz w:val="18"/>
          <w:szCs w:val="18"/>
        </w:rPr>
        <w:t xml:space="preserve"> risulta il marchio più presente tra i contenitori di acqua minerale, </w:t>
      </w:r>
      <w:r>
        <w:rPr>
          <w:rFonts w:cs="Arial" w:ascii="Rubik" w:hAnsi="Rubik"/>
          <w:b/>
          <w:bCs/>
          <w:color w:val="000000"/>
          <w:sz w:val="18"/>
          <w:szCs w:val="18"/>
        </w:rPr>
        <w:t>Moretti/Heineken</w:t>
      </w:r>
      <w:r>
        <w:rPr>
          <w:rFonts w:cs="Arial" w:ascii="Rubik" w:hAnsi="Rubik"/>
          <w:color w:val="000000"/>
          <w:sz w:val="18"/>
          <w:szCs w:val="18"/>
        </w:rPr>
        <w:t xml:space="preserve"> tra quelli della birra, mentre</w:t>
      </w:r>
      <w:r>
        <w:rPr>
          <w:rFonts w:cs="Arial" w:ascii="Rubik" w:hAnsi="Rubik"/>
          <w:b/>
          <w:bCs/>
          <w:color w:val="000000"/>
          <w:sz w:val="18"/>
          <w:szCs w:val="18"/>
        </w:rPr>
        <w:t xml:space="preserve"> Coca-Cola e Red Bull</w:t>
      </w:r>
      <w:r>
        <w:rPr>
          <w:rFonts w:cs="Arial" w:ascii="Rubik" w:hAnsi="Rubik"/>
          <w:color w:val="000000"/>
          <w:sz w:val="18"/>
          <w:szCs w:val="18"/>
        </w:rPr>
        <w:t xml:space="preserve"> si confermano tra i marchi più frequentemente individuati nel segmento delle bevande analcoliche. </w:t>
      </w:r>
    </w:p>
    <w:p>
      <w:pPr>
        <w:pStyle w:val="Corpodeltesto"/>
        <w:spacing w:lineRule="auto" w:line="240"/>
        <w:jc w:val="left"/>
        <w:rPr>
          <w:sz w:val="20"/>
          <w:szCs w:val="20"/>
        </w:rPr>
      </w:pPr>
      <w:r>
        <w:rPr>
          <w:rFonts w:cs="Arial" w:ascii="Rubik" w:hAnsi="Rubik"/>
          <w:color w:val="000000"/>
          <w:sz w:val="18"/>
          <w:szCs w:val="18"/>
        </w:rPr>
        <w:t xml:space="preserve">Tra le principali fonti di inquinamento da contenitori emergono quasi allo stesso livello il comparto della </w:t>
      </w:r>
      <w:r>
        <w:rPr>
          <w:rStyle w:val="Enfasiforte"/>
          <w:rFonts w:cs="Arial" w:ascii="Rubik" w:hAnsi="Rubik"/>
          <w:color w:val="000000"/>
          <w:sz w:val="18"/>
          <w:szCs w:val="18"/>
        </w:rPr>
        <w:t>birra</w:t>
      </w:r>
      <w:r>
        <w:rPr>
          <w:rFonts w:cs="Arial" w:ascii="Rubik" w:hAnsi="Rubik"/>
          <w:color w:val="000000"/>
          <w:sz w:val="18"/>
          <w:szCs w:val="18"/>
        </w:rPr>
        <w:t xml:space="preserve">, responsabile del </w:t>
      </w:r>
      <w:r>
        <w:rPr>
          <w:rStyle w:val="Enfasiforte"/>
          <w:rFonts w:cs="Arial" w:ascii="Rubik" w:hAnsi="Rubik"/>
          <w:color w:val="000000"/>
          <w:sz w:val="18"/>
          <w:szCs w:val="18"/>
        </w:rPr>
        <w:t>35%</w:t>
      </w:r>
      <w:r>
        <w:rPr>
          <w:rFonts w:cs="Arial" w:ascii="Rubik" w:hAnsi="Rubik"/>
          <w:color w:val="000000"/>
          <w:sz w:val="18"/>
          <w:szCs w:val="18"/>
        </w:rPr>
        <w:t xml:space="preserve">, e quello delle </w:t>
      </w:r>
      <w:r>
        <w:rPr>
          <w:rStyle w:val="Enfasiforte"/>
          <w:rFonts w:cs="Arial" w:ascii="Rubik" w:hAnsi="Rubik"/>
          <w:color w:val="000000"/>
          <w:sz w:val="18"/>
          <w:szCs w:val="18"/>
        </w:rPr>
        <w:t>acque in bottiglia</w:t>
      </w:r>
      <w:r>
        <w:rPr>
          <w:rFonts w:cs="Arial" w:ascii="Rubik" w:hAnsi="Rubik"/>
          <w:color w:val="000000"/>
          <w:sz w:val="18"/>
          <w:szCs w:val="18"/>
        </w:rPr>
        <w:t xml:space="preserve">, che incide per il </w:t>
      </w:r>
      <w:r>
        <w:rPr>
          <w:rStyle w:val="Enfasiforte"/>
          <w:rFonts w:cs="Arial" w:ascii="Rubik" w:hAnsi="Rubik"/>
          <w:color w:val="000000"/>
          <w:sz w:val="18"/>
          <w:szCs w:val="18"/>
        </w:rPr>
        <w:t>33%</w:t>
      </w:r>
      <w:r>
        <w:rPr>
          <w:rFonts w:cs="Arial" w:ascii="Rubik" w:hAnsi="Rubik"/>
          <w:color w:val="000000"/>
          <w:sz w:val="18"/>
          <w:szCs w:val="18"/>
        </w:rPr>
        <w:t xml:space="preserve">; seguono, con una quota più contenuta, le </w:t>
      </w:r>
      <w:r>
        <w:rPr>
          <w:rStyle w:val="Enfasiforte"/>
          <w:rFonts w:cs="Arial" w:ascii="Rubik" w:hAnsi="Rubik"/>
          <w:color w:val="000000"/>
          <w:sz w:val="18"/>
          <w:szCs w:val="18"/>
        </w:rPr>
        <w:t>bevande analcoliche</w:t>
      </w:r>
      <w:r>
        <w:rPr>
          <w:rFonts w:cs="Arial" w:ascii="Rubik" w:hAnsi="Rubik"/>
          <w:color w:val="000000"/>
          <w:sz w:val="18"/>
          <w:szCs w:val="18"/>
        </w:rPr>
        <w:t xml:space="preserve"> e il segmento </w:t>
      </w:r>
      <w:r>
        <w:rPr>
          <w:rStyle w:val="Enfasiforte"/>
          <w:rFonts w:cs="Arial" w:ascii="Rubik" w:hAnsi="Rubik"/>
          <w:color w:val="000000"/>
          <w:sz w:val="18"/>
          <w:szCs w:val="18"/>
        </w:rPr>
        <w:t>vino/alcolici</w:t>
      </w:r>
      <w:r>
        <w:rPr>
          <w:rFonts w:cs="Arial" w:ascii="Rubik" w:hAnsi="Rubik"/>
          <w:color w:val="000000"/>
          <w:sz w:val="18"/>
          <w:szCs w:val="18"/>
        </w:rPr>
        <w:t xml:space="preserve">, pari complessivamente al </w:t>
      </w:r>
      <w:r>
        <w:rPr>
          <w:rStyle w:val="Enfasiforte"/>
          <w:rFonts w:cs="Arial" w:ascii="Rubik" w:hAnsi="Rubik"/>
          <w:color w:val="000000"/>
          <w:sz w:val="18"/>
          <w:szCs w:val="18"/>
        </w:rPr>
        <w:t>6%</w:t>
      </w:r>
      <w:r>
        <w:rPr>
          <w:rFonts w:cs="Arial" w:ascii="Rubik" w:hAnsi="Rubik"/>
          <w:color w:val="000000"/>
          <w:sz w:val="18"/>
          <w:szCs w:val="18"/>
        </w:rPr>
        <w:t xml:space="preserve">. </w:t>
        <w:br/>
        <w:br/>
        <w:t xml:space="preserve">L'iniziativa di Brand Audit è resa possibile da Helena Boers che nel corso del 2025 ha recuperato e analizzato </w:t>
      </w:r>
      <w:r>
        <w:rPr>
          <w:rFonts w:cs="Arial" w:ascii="Rubik" w:hAnsi="Rubik"/>
          <w:b/>
          <w:bCs/>
          <w:color w:val="000000"/>
          <w:sz w:val="18"/>
          <w:szCs w:val="18"/>
        </w:rPr>
        <w:t xml:space="preserve">ben 19.803 </w:t>
      </w:r>
      <w:r>
        <w:rPr>
          <w:rFonts w:cs="Arial" w:ascii="Rubik" w:hAnsi="Rubik"/>
          <w:color w:val="000000"/>
          <w:sz w:val="18"/>
          <w:szCs w:val="18"/>
        </w:rPr>
        <w:t>contenitori per bevande abbandonati destinandoli al riciclo. La massiccia presenza nel littering — ossia dei rifiuti dispersi nell’ambiente — dei grandi marchi di bevande che dominano gli scaffali dei supermercati richiama con forza un principio cardine delle politiche ambientali europee: chi inquina paga.</w:t>
        <w:br/>
        <w:br/>
        <w:t>In concreto ad una maggiore quota di mercato dovrebbe corrispondere una maggiore responsabilità da parte dei marchi di bevande nel sostenere soluzioni concrete che affrontino il problema alla radice come il sistema di deposito cauzionale.</w:t>
        <w:br/>
        <w:br/>
        <w:t>Si stima che ogni anno</w:t>
      </w:r>
      <w:hyperlink r:id="rId3">
        <w:r>
          <w:rPr>
            <w:rStyle w:val="CollegamentoInternet"/>
            <w:rFonts w:cs="Arial" w:ascii="Rubik" w:hAnsi="Rubik"/>
            <w:color w:val="000000"/>
            <w:sz w:val="18"/>
            <w:szCs w:val="18"/>
          </w:rPr>
          <w:t xml:space="preserve"> </w:t>
        </w:r>
        <w:r>
          <w:rPr>
            <w:rStyle w:val="CollegamentoInternet"/>
            <w:rFonts w:cs="Arial" w:ascii="Rubik" w:hAnsi="Rubik"/>
            <w:b/>
            <w:bCs/>
            <w:color w:val="000000"/>
            <w:sz w:val="18"/>
            <w:szCs w:val="18"/>
          </w:rPr>
          <w:t>oltre 8 miliardi</w:t>
        </w:r>
      </w:hyperlink>
      <w:r>
        <w:rPr>
          <w:rFonts w:cs="Arial" w:ascii="Rubik" w:hAnsi="Rubik"/>
          <w:b/>
          <w:bCs/>
          <w:color w:val="000000"/>
          <w:sz w:val="18"/>
          <w:szCs w:val="18"/>
        </w:rPr>
        <w:t xml:space="preserve"> </w:t>
      </w:r>
      <w:r>
        <w:rPr>
          <w:rFonts w:cs="Arial" w:ascii="Rubik" w:hAnsi="Rubik"/>
          <w:color w:val="000000"/>
          <w:sz w:val="18"/>
          <w:szCs w:val="18"/>
        </w:rPr>
        <w:t>di contenitori sfuggano al riciclo: un’enorme perdita per un Paese la cui dipendenza dall’importazione di materie prime che è più del doppio della media europea, e con un settore dell'industria del</w:t>
      </w:r>
      <w:r>
        <w:rPr>
          <w:rFonts w:cs="Arial" w:ascii="Rubik" w:hAnsi="Rubik"/>
          <w:b/>
          <w:bCs/>
          <w:color w:val="000000"/>
          <w:sz w:val="18"/>
          <w:szCs w:val="18"/>
        </w:rPr>
        <w:t xml:space="preserve"> riciclo della plastica in profonda crisi. </w:t>
      </w:r>
      <w:r>
        <w:rPr>
          <w:rFonts w:cs="Arial" w:ascii="Rubik" w:hAnsi="Rubik"/>
          <w:color w:val="000000"/>
          <w:sz w:val="18"/>
          <w:szCs w:val="18"/>
        </w:rPr>
        <w:br/>
        <w:br/>
        <w:t xml:space="preserve">Mentre i produttori di bevande hanno spesso attribuito </w:t>
      </w:r>
      <w:hyperlink r:id="rId4">
        <w:r>
          <w:rPr>
            <w:rStyle w:val="CollegamentoInternet"/>
            <w:rFonts w:cs="Arial" w:ascii="Rubik" w:hAnsi="Rubik"/>
            <w:color w:val="000000"/>
            <w:sz w:val="18"/>
            <w:szCs w:val="18"/>
          </w:rPr>
          <w:t xml:space="preserve">storicamente la colpa del littering </w:t>
        </w:r>
      </w:hyperlink>
      <w:r>
        <w:rPr>
          <w:rFonts w:cs="Arial" w:ascii="Rubik" w:hAnsi="Rubik"/>
          <w:color w:val="000000"/>
          <w:sz w:val="18"/>
          <w:szCs w:val="18"/>
        </w:rPr>
        <w:t xml:space="preserve">ai singoli consumatori, i dati parlano chiaro. </w:t>
      </w:r>
      <w:r>
        <w:fldChar w:fldCharType="begin"/>
      </w:r>
      <w:r>
        <w:rPr>
          <w:rStyle w:val="CollegamentoInternet"/>
          <w:sz w:val="18"/>
          <w:b/>
          <w:szCs w:val="18"/>
          <w:bCs/>
          <w:rFonts w:cs="Arial" w:ascii="Rubik" w:hAnsi="Rubik"/>
          <w:color w:val="000000"/>
        </w:rPr>
        <w:instrText> HYPERLINK "https://buonrendere.it/sistemi-di-deposito/" \l "SCE"</w:instrText>
      </w:r>
      <w:r>
        <w:rPr>
          <w:rStyle w:val="CollegamentoInternet"/>
          <w:sz w:val="18"/>
          <w:b/>
          <w:szCs w:val="18"/>
          <w:bCs/>
          <w:rFonts w:cs="Arial" w:ascii="Rubik" w:hAnsi="Rubik"/>
          <w:color w:val="000000"/>
        </w:rPr>
        <w:fldChar w:fldCharType="separate"/>
      </w:r>
      <w:r>
        <w:rPr>
          <w:rStyle w:val="CollegamentoInternet"/>
          <w:rFonts w:cs="Arial" w:ascii="Rubik" w:hAnsi="Rubik"/>
          <w:b/>
          <w:bCs/>
          <w:color w:val="000000"/>
          <w:sz w:val="18"/>
          <w:szCs w:val="18"/>
        </w:rPr>
        <w:t>Nei</w:t>
      </w:r>
      <w:r>
        <w:rPr>
          <w:rStyle w:val="CollegamentoInternet"/>
          <w:sz w:val="18"/>
          <w:b/>
          <w:szCs w:val="18"/>
          <w:bCs/>
          <w:rFonts w:cs="Arial" w:ascii="Rubik" w:hAnsi="Rubik"/>
          <w:color w:val="000000"/>
        </w:rPr>
        <w:fldChar w:fldCharType="end"/>
      </w:r>
      <w:r>
        <w:rPr>
          <w:rStyle w:val="CollegamentoInternet"/>
          <w:rFonts w:cs="Arial" w:ascii="Rubik" w:hAnsi="Rubik"/>
          <w:b/>
          <w:bCs/>
          <w:color w:val="000000"/>
          <w:sz w:val="18"/>
          <w:szCs w:val="18"/>
        </w:rPr>
        <w:t xml:space="preserve"> 19 Paesi</w:t>
      </w:r>
      <w:r>
        <w:rPr>
          <w:rStyle w:val="CollegamentoInternet"/>
          <w:rFonts w:cs="Arial" w:ascii="Rubik" w:hAnsi="Rubik"/>
          <w:color w:val="000000"/>
          <w:sz w:val="18"/>
          <w:szCs w:val="18"/>
        </w:rPr>
        <w:t xml:space="preserve"> </w:t>
      </w:r>
      <w:r>
        <w:rPr>
          <w:rFonts w:cs="Arial" w:ascii="Rubik" w:hAnsi="Rubik"/>
          <w:color w:val="000000"/>
          <w:sz w:val="18"/>
          <w:szCs w:val="18"/>
        </w:rPr>
        <w:t xml:space="preserve">dell’UE dove è attivo un sistema cauzionale, l’abbandono dei contenitori per bevande è crollato drasticamente. Questo sistema, che prevede l’aggiunta di un piccolo deposito al prezzo di vendita, interamente rimborsato alla restituzione del vuoto, garantisce tassi di raccolta che </w:t>
      </w:r>
      <w:r>
        <w:rPr>
          <w:rFonts w:cs="Arial" w:ascii="Rubik" w:hAnsi="Rubik"/>
          <w:b/>
          <w:bCs/>
          <w:color w:val="000000"/>
          <w:sz w:val="18"/>
          <w:szCs w:val="18"/>
        </w:rPr>
        <w:t>superano il 90%</w:t>
      </w:r>
      <w:r>
        <w:rPr>
          <w:rFonts w:cs="Arial" w:ascii="Rubik" w:hAnsi="Rubik"/>
          <w:color w:val="000000"/>
          <w:sz w:val="18"/>
          <w:szCs w:val="18"/>
        </w:rPr>
        <w:t xml:space="preserve">, con picchi del </w:t>
      </w:r>
      <w:r>
        <w:rPr>
          <w:rFonts w:cs="Arial" w:ascii="Rubik" w:hAnsi="Rubik"/>
          <w:b/>
          <w:bCs/>
          <w:color w:val="000000"/>
          <w:sz w:val="18"/>
          <w:szCs w:val="18"/>
        </w:rPr>
        <w:t>98%</w:t>
      </w:r>
      <w:r>
        <w:rPr>
          <w:rFonts w:cs="Arial" w:ascii="Rubik" w:hAnsi="Rubik"/>
          <w:color w:val="000000"/>
          <w:sz w:val="18"/>
          <w:szCs w:val="18"/>
        </w:rPr>
        <w:t xml:space="preserve"> come in Germania e Finlandia .</w:t>
      </w:r>
    </w:p>
    <w:p>
      <w:pPr>
        <w:pStyle w:val="Corpodeltesto"/>
        <w:spacing w:lineRule="auto" w:line="240"/>
        <w:jc w:val="left"/>
        <w:rPr>
          <w:b/>
          <w:b/>
          <w:bCs/>
          <w:sz w:val="18"/>
          <w:szCs w:val="18"/>
        </w:rPr>
      </w:pPr>
      <w:r>
        <w:rPr>
          <w:rFonts w:cs="Arial" w:ascii="Rubik" w:hAnsi="Rubik"/>
          <w:b/>
          <w:bCs/>
          <w:color w:val="000000"/>
          <w:sz w:val="18"/>
          <w:szCs w:val="18"/>
        </w:rPr>
        <w:t>L’indagine “ABR Radar”: un anno di monitoraggio nel Milanese</w:t>
      </w:r>
    </w:p>
    <w:p>
      <w:pPr>
        <w:pStyle w:val="Corpodeltesto"/>
        <w:spacing w:lineRule="auto" w:line="240"/>
        <w:jc w:val="left"/>
        <w:rPr>
          <w:sz w:val="18"/>
          <w:szCs w:val="18"/>
        </w:rPr>
      </w:pPr>
      <w:r>
        <w:rPr>
          <w:rFonts w:cs="Arial" w:ascii="Rubik" w:hAnsi="Rubik"/>
          <w:color w:val="000000"/>
          <w:sz w:val="18"/>
          <w:szCs w:val="18"/>
        </w:rPr>
        <w:t>La nuova indagine di “Brand Audit” riferita al 2025 è resa possibile dall’incredibile impegno civico di Helena Boers  che lotta da tempo contro l'abbandono dei rifiuti pattugliando le stesse aree periferiche del milanese che ripulisce  dai rifiuti di varia natura, di cui una parte importante è costituita dai contenitori per bevande.</w:t>
        <w:br/>
        <w:br/>
        <w:t>L’indagine di brand audit attiva da oltre due anni coinvolge diversi Comuni del milanese tra i quali Grezzago, Trezzo sull’Adda, Pozzo d’Adda e altre aree limitrofe.</w:t>
        <w:br/>
        <w:br/>
        <w:t>Tra il 1° gennaio il 31 dicembre 2025 l'iniziativa di Boers con ben</w:t>
      </w:r>
      <w:r>
        <w:rPr>
          <w:rFonts w:cs="Arial" w:ascii="Rubik" w:hAnsi="Rubik"/>
          <w:b/>
          <w:bCs/>
          <w:color w:val="000000"/>
          <w:sz w:val="18"/>
          <w:szCs w:val="18"/>
        </w:rPr>
        <w:t xml:space="preserve"> 19.803 </w:t>
      </w:r>
      <w:r>
        <w:rPr>
          <w:rFonts w:cs="Arial" w:ascii="Rubik" w:hAnsi="Rubik"/>
          <w:color w:val="000000"/>
          <w:sz w:val="18"/>
          <w:szCs w:val="18"/>
        </w:rPr>
        <w:t xml:space="preserve">contenitori per bevande abbandonati raccolti ha evitato l'emissione di </w:t>
      </w:r>
      <w:r>
        <w:rPr>
          <w:rFonts w:cs="Arial" w:ascii="Rubik" w:hAnsi="Rubik"/>
          <w:b/>
          <w:bCs/>
          <w:color w:val="000000"/>
          <w:sz w:val="18"/>
          <w:szCs w:val="18"/>
        </w:rPr>
        <w:t xml:space="preserve">3,02 </w:t>
      </w:r>
      <w:r>
        <w:rPr>
          <w:rFonts w:cs="Arial" w:ascii="Rubik" w:hAnsi="Rubik"/>
          <w:color w:val="000000"/>
          <w:sz w:val="18"/>
          <w:szCs w:val="18"/>
        </w:rPr>
        <w:t xml:space="preserve">tonnellate di CO2, dirottando verso il riciclo migliaia di imballaggi per bevande. </w:t>
        <w:br/>
        <w:t xml:space="preserve">Anche in questa indagine riferita all’intero 2025 i dati riferiti ai contenitori raccolti vengono caricati da Helena Boers sulla webapp di ABR Radar*sulla base di: tipologia, materiale, marca e tipo di bevanda. Questa metodologia di analisi o categorizzazione del rifiuto è chiamata </w:t>
      </w:r>
      <w:r>
        <w:rPr>
          <w:rFonts w:cs="Arial" w:ascii="Rubik" w:hAnsi="Rubik"/>
          <w:b/>
          <w:bCs/>
          <w:color w:val="000000"/>
          <w:sz w:val="18"/>
          <w:szCs w:val="18"/>
        </w:rPr>
        <w:t>Brand Audit</w:t>
      </w:r>
      <w:r>
        <w:rPr>
          <w:rFonts w:cs="Arial" w:ascii="Rubik" w:hAnsi="Rubik"/>
          <w:color w:val="000000"/>
          <w:sz w:val="18"/>
          <w:szCs w:val="18"/>
        </w:rPr>
        <w:t xml:space="preserve"> perché prevede anche l’identificazione del marchio della bevanda.</w:t>
        <w:br/>
        <w:br/>
      </w:r>
      <w:r>
        <w:rPr>
          <w:rFonts w:cs="Arial" w:ascii="Rubik" w:hAnsi="Rubik"/>
          <w:b/>
          <w:bCs/>
          <w:color w:val="000000"/>
          <w:sz w:val="18"/>
          <w:szCs w:val="18"/>
        </w:rPr>
        <w:t>MATERIALI E COMPARTI</w:t>
      </w:r>
      <w:r>
        <w:rPr>
          <w:rFonts w:cs="Arial" w:ascii="Rubik" w:hAnsi="Rubik"/>
          <w:color w:val="000000"/>
          <w:sz w:val="18"/>
          <w:szCs w:val="18"/>
        </w:rPr>
        <w:br/>
        <w:br/>
        <w:t xml:space="preserve">Anche per il 2025 i risultati di questo brand audit nel milanese evidenziano una prevalenza della </w:t>
      </w:r>
      <w:r>
        <w:rPr>
          <w:rFonts w:cs="Arial" w:ascii="Rubik" w:hAnsi="Rubik"/>
          <w:b/>
          <w:bCs/>
          <w:color w:val="000000"/>
          <w:sz w:val="18"/>
          <w:szCs w:val="18"/>
        </w:rPr>
        <w:t>plastica (41%)</w:t>
      </w:r>
      <w:r>
        <w:rPr>
          <w:rFonts w:cs="Arial" w:ascii="Rubik" w:hAnsi="Rubik"/>
          <w:color w:val="000000"/>
          <w:sz w:val="18"/>
          <w:szCs w:val="18"/>
        </w:rPr>
        <w:t xml:space="preserve"> come materiale dei contenitori seguita dall’</w:t>
      </w:r>
      <w:r>
        <w:rPr>
          <w:rFonts w:cs="Arial" w:ascii="Rubik" w:hAnsi="Rubik"/>
          <w:b/>
          <w:bCs/>
          <w:color w:val="000000"/>
          <w:sz w:val="18"/>
          <w:szCs w:val="18"/>
        </w:rPr>
        <w:t xml:space="preserve">alluminio </w:t>
      </w:r>
      <w:r>
        <w:rPr>
          <w:rFonts w:cs="Arial" w:ascii="Rubik" w:hAnsi="Rubik"/>
          <w:b w:val="false"/>
          <w:bCs w:val="false"/>
          <w:color w:val="000000"/>
          <w:sz w:val="18"/>
          <w:szCs w:val="18"/>
        </w:rPr>
        <w:t>delle lattine</w:t>
      </w:r>
      <w:r>
        <w:rPr>
          <w:rFonts w:cs="Arial" w:ascii="Rubik" w:hAnsi="Rubik"/>
          <w:b/>
          <w:bCs/>
          <w:color w:val="000000"/>
          <w:sz w:val="18"/>
          <w:szCs w:val="18"/>
        </w:rPr>
        <w:t xml:space="preserve"> (29%)</w:t>
      </w:r>
      <w:r>
        <w:rPr>
          <w:rFonts w:cs="Arial" w:ascii="Rubik" w:hAnsi="Rubik"/>
          <w:color w:val="000000"/>
          <w:sz w:val="18"/>
          <w:szCs w:val="18"/>
        </w:rPr>
        <w:t xml:space="preserve">, dal </w:t>
      </w:r>
      <w:r>
        <w:rPr>
          <w:rFonts w:cs="Arial" w:ascii="Rubik" w:hAnsi="Rubik"/>
          <w:b/>
          <w:bCs/>
          <w:color w:val="000000"/>
          <w:sz w:val="18"/>
          <w:szCs w:val="18"/>
        </w:rPr>
        <w:t xml:space="preserve">vetro (26%) </w:t>
      </w:r>
      <w:r>
        <w:rPr>
          <w:rFonts w:cs="Arial" w:ascii="Rubik" w:hAnsi="Rubik"/>
          <w:color w:val="000000"/>
          <w:sz w:val="18"/>
          <w:szCs w:val="18"/>
        </w:rPr>
        <w:t xml:space="preserve">e dai </w:t>
      </w:r>
      <w:r>
        <w:rPr>
          <w:rFonts w:cs="Arial" w:ascii="Rubik" w:hAnsi="Rubik"/>
          <w:b/>
          <w:bCs/>
          <w:color w:val="000000"/>
          <w:sz w:val="18"/>
          <w:szCs w:val="18"/>
        </w:rPr>
        <w:t>cartoni per bevande</w:t>
      </w:r>
      <w:r>
        <w:rPr>
          <w:rFonts w:cs="Arial" w:ascii="Rubik" w:hAnsi="Rubik"/>
          <w:color w:val="000000"/>
          <w:sz w:val="18"/>
          <w:szCs w:val="18"/>
        </w:rPr>
        <w:t xml:space="preserve"> (</w:t>
      </w:r>
      <w:r>
        <w:rPr>
          <w:rFonts w:cs="Arial" w:ascii="Rubik" w:hAnsi="Rubik"/>
          <w:b/>
          <w:bCs/>
          <w:color w:val="000000"/>
          <w:sz w:val="18"/>
          <w:szCs w:val="18"/>
        </w:rPr>
        <w:t>4%).</w:t>
      </w:r>
      <w:r>
        <w:rPr>
          <w:rFonts w:cs="Arial" w:ascii="Rubik" w:hAnsi="Rubik"/>
          <w:color w:val="000000"/>
          <w:sz w:val="18"/>
          <w:szCs w:val="18"/>
        </w:rPr>
        <w:br/>
        <w:t xml:space="preserve">Per quanto riguarda le diverse categorie di bevande, il </w:t>
      </w:r>
      <w:r>
        <w:rPr>
          <w:rFonts w:cs="Arial" w:ascii="Rubik" w:hAnsi="Rubik"/>
          <w:b/>
          <w:bCs/>
          <w:color w:val="000000"/>
          <w:sz w:val="18"/>
          <w:szCs w:val="18"/>
        </w:rPr>
        <w:t>comparto della birra</w:t>
      </w:r>
      <w:r>
        <w:rPr>
          <w:rFonts w:cs="Arial" w:ascii="Rubik" w:hAnsi="Rubik"/>
          <w:color w:val="000000"/>
          <w:sz w:val="18"/>
          <w:szCs w:val="18"/>
        </w:rPr>
        <w:t xml:space="preserve"> si conferma quello maggiormente rappresentato nel fenomeno del littering, con il </w:t>
      </w:r>
      <w:r>
        <w:rPr>
          <w:rFonts w:cs="Arial" w:ascii="Rubik" w:hAnsi="Rubik"/>
          <w:b/>
          <w:bCs/>
          <w:color w:val="000000"/>
          <w:sz w:val="18"/>
          <w:szCs w:val="18"/>
        </w:rPr>
        <w:t>35%</w:t>
      </w:r>
      <w:r>
        <w:rPr>
          <w:rFonts w:cs="Arial" w:ascii="Rubik" w:hAnsi="Rubik"/>
          <w:color w:val="000000"/>
          <w:sz w:val="18"/>
          <w:szCs w:val="18"/>
        </w:rPr>
        <w:t xml:space="preserve"> dei rifiuti da contenitori per bevande rilevati. Seguono l’</w:t>
      </w:r>
      <w:r>
        <w:rPr>
          <w:rFonts w:cs="Arial" w:ascii="Rubik" w:hAnsi="Rubik"/>
          <w:b/>
          <w:bCs/>
          <w:color w:val="000000"/>
          <w:sz w:val="18"/>
          <w:szCs w:val="18"/>
        </w:rPr>
        <w:t>acqua in bottiglia</w:t>
      </w:r>
      <w:r>
        <w:rPr>
          <w:rFonts w:cs="Arial" w:ascii="Rubik" w:hAnsi="Rubik"/>
          <w:color w:val="000000"/>
          <w:sz w:val="18"/>
          <w:szCs w:val="18"/>
        </w:rPr>
        <w:t xml:space="preserve"> con il 33%, le</w:t>
      </w:r>
      <w:r>
        <w:rPr>
          <w:rFonts w:cs="Arial" w:ascii="Rubik" w:hAnsi="Rubik"/>
          <w:b/>
          <w:bCs/>
          <w:color w:val="000000"/>
          <w:sz w:val="18"/>
          <w:szCs w:val="18"/>
        </w:rPr>
        <w:t xml:space="preserve"> bibite analcoliche</w:t>
      </w:r>
      <w:r>
        <w:rPr>
          <w:rFonts w:cs="Arial" w:ascii="Rubik" w:hAnsi="Rubik"/>
          <w:color w:val="000000"/>
          <w:sz w:val="18"/>
          <w:szCs w:val="18"/>
        </w:rPr>
        <w:t xml:space="preserve"> con il </w:t>
      </w:r>
      <w:r>
        <w:rPr>
          <w:rFonts w:cs="Arial" w:ascii="Rubik" w:hAnsi="Rubik"/>
          <w:b/>
          <w:bCs/>
          <w:color w:val="000000"/>
          <w:sz w:val="18"/>
          <w:szCs w:val="18"/>
        </w:rPr>
        <w:t>26%</w:t>
      </w:r>
      <w:r>
        <w:rPr>
          <w:rFonts w:cs="Arial" w:ascii="Rubik" w:hAnsi="Rubik"/>
          <w:color w:val="000000"/>
          <w:sz w:val="18"/>
          <w:szCs w:val="18"/>
        </w:rPr>
        <w:t xml:space="preserve"> e, in misura più contenuta, il </w:t>
      </w:r>
      <w:r>
        <w:rPr>
          <w:rFonts w:cs="Arial" w:ascii="Rubik" w:hAnsi="Rubik"/>
          <w:b/>
          <w:bCs/>
          <w:color w:val="000000"/>
          <w:sz w:val="18"/>
          <w:szCs w:val="18"/>
        </w:rPr>
        <w:t>vino e gli alcolici</w:t>
      </w:r>
      <w:r>
        <w:rPr>
          <w:rFonts w:cs="Arial" w:ascii="Rubik" w:hAnsi="Rubik"/>
          <w:color w:val="000000"/>
          <w:sz w:val="18"/>
          <w:szCs w:val="18"/>
        </w:rPr>
        <w:t xml:space="preserve"> con il </w:t>
      </w:r>
      <w:r>
        <w:rPr>
          <w:rFonts w:cs="Arial" w:ascii="Rubik" w:hAnsi="Rubik"/>
          <w:b/>
          <w:bCs/>
          <w:color w:val="000000"/>
          <w:sz w:val="18"/>
          <w:szCs w:val="18"/>
        </w:rPr>
        <w:t>6%.</w:t>
      </w:r>
    </w:p>
    <w:p>
      <w:pPr>
        <w:pStyle w:val="Corpodeltesto"/>
        <w:spacing w:lineRule="auto" w:line="240"/>
        <w:jc w:val="left"/>
        <w:rPr>
          <w:rFonts w:ascii="Rubik" w:hAnsi="Rubik"/>
          <w:sz w:val="18"/>
          <w:szCs w:val="18"/>
        </w:rPr>
      </w:pPr>
      <w:r>
        <w:rPr>
          <w:rFonts w:eastAsia="Times New Roman" w:cs="Arial" w:ascii="Rubik" w:hAnsi="Rubik"/>
          <w:b/>
          <w:bCs/>
          <w:kern w:val="0"/>
          <w:sz w:val="18"/>
          <w:szCs w:val="18"/>
          <w:lang w:eastAsia="it-IT" w:bidi="ar-SA"/>
        </w:rPr>
        <w:t xml:space="preserve">LE MARCHE </w:t>
      </w:r>
      <w:r>
        <w:rPr>
          <w:rFonts w:eastAsia="Times New Roman" w:cs="Arial" w:ascii="Rubik" w:hAnsi="Rubik"/>
          <w:kern w:val="0"/>
          <w:sz w:val="18"/>
          <w:szCs w:val="18"/>
          <w:lang w:eastAsia="it-IT" w:bidi="ar-SA"/>
        </w:rPr>
        <w:br/>
        <w:br/>
        <w:t>L'analisi dei dati di ABR Radar, relativi ai 11.629 contenitori per i quali è stato possibile identificare la marca, mostra che le 10 marche più presenti nel littering costituiscono il 63% del totale dei contenitori dispersi. Guida la classifica Moretti al primo posto, seguita da San Benedetto e Red Bull.</w:t>
        <w:br/>
        <w:br/>
      </w:r>
      <w:r>
        <w:rPr>
          <w:rFonts w:eastAsia="Times New Roman" w:cs="Arial" w:ascii="Rubik" w:hAnsi="Rubik"/>
          <w:b/>
          <w:bCs/>
          <w:kern w:val="0"/>
          <w:sz w:val="18"/>
          <w:szCs w:val="18"/>
          <w:lang w:eastAsia="it-IT" w:bidi="ar-SA"/>
        </w:rPr>
        <w:t xml:space="preserve">I GRUPPI INDUSTRIALI </w:t>
      </w:r>
      <w:r>
        <w:rPr>
          <w:rFonts w:eastAsia="Times New Roman" w:cs="Arial" w:ascii="Rubik" w:hAnsi="Rubik"/>
          <w:kern w:val="0"/>
          <w:sz w:val="18"/>
          <w:szCs w:val="18"/>
          <w:lang w:eastAsia="it-IT" w:bidi="ar-SA"/>
        </w:rPr>
        <w:br/>
        <w:br/>
        <w:t>Considerando invece i gruppi con più marchi nel portafoglio, il gruppo Heineken (che include anche Moretti e Ichnusa) si colloca al primo posto, seguito da San Benedetto, Coca Cola, e dal gruppo Ab Inv.</w:t>
      </w:r>
    </w:p>
    <w:p>
      <w:pPr>
        <w:pStyle w:val="Corpodeltesto"/>
        <w:jc w:val="left"/>
        <w:rPr>
          <w:rFonts w:ascii="Rubik" w:hAnsi="Rubik" w:eastAsia="Times New Roman" w:cs="Arial"/>
          <w:kern w:val="0"/>
          <w:sz w:val="18"/>
          <w:szCs w:val="18"/>
          <w:lang w:eastAsia="it-IT" w:bidi="ar-SA"/>
        </w:rPr>
      </w:pPr>
      <w:r>
        <w:rPr>
          <w:rFonts w:eastAsia="Times New Roman" w:cs="Arial" w:ascii="Rubik" w:hAnsi="Rubik"/>
          <w:b/>
          <w:bCs/>
          <w:kern w:val="0"/>
          <w:sz w:val="18"/>
          <w:szCs w:val="18"/>
          <w:lang w:eastAsia="it-IT" w:bidi="ar-SA"/>
        </w:rPr>
        <w:t>Enzo Favoino coordinatore scientifico Campagna “A Buon Rendere”</w:t>
      </w:r>
      <w:r>
        <w:rPr>
          <w:rFonts w:eastAsia="Times New Roman" w:cs="Arial" w:ascii="Rubik" w:hAnsi="Rubik"/>
          <w:kern w:val="0"/>
          <w:sz w:val="18"/>
          <w:szCs w:val="18"/>
          <w:lang w:eastAsia="it-IT" w:bidi="ar-SA"/>
        </w:rPr>
        <w:br/>
        <w:br/>
      </w:r>
      <w:r>
        <w:rPr>
          <w:rFonts w:eastAsia="Times New Roman" w:cs="Arial" w:ascii="Rubik" w:hAnsi="Rubik"/>
          <w:i/>
          <w:iCs/>
          <w:kern w:val="0"/>
          <w:sz w:val="18"/>
          <w:szCs w:val="18"/>
          <w:lang w:eastAsia="it-IT" w:bidi="ar-SA"/>
        </w:rPr>
        <w:t>“Le evidenze raccolte anche attraverso i brand audit sullo spreco dei contenitori di bevande sia quando dispersi nell'ambiente che smaltiti hanno spinto i produttori di bevande di praticamente tutti i paesi europei a sostenere politiche di EPR più efficaci, come i sistemi di deposito cauzionale (DRS).</w:t>
        <w:br/>
        <w:br/>
        <w:t xml:space="preserve">Attualmente, </w:t>
      </w:r>
      <w:r>
        <w:rPr>
          <w:rFonts w:eastAsia="Times New Roman" w:cs="Arial" w:ascii="Rubik" w:hAnsi="Rubik"/>
          <w:b/>
          <w:bCs/>
          <w:i/>
          <w:iCs/>
          <w:kern w:val="0"/>
          <w:sz w:val="18"/>
          <w:szCs w:val="18"/>
          <w:lang w:eastAsia="it-IT" w:bidi="ar-SA"/>
        </w:rPr>
        <w:t>19 paesi europei</w:t>
      </w:r>
      <w:r>
        <w:rPr>
          <w:rFonts w:eastAsia="Times New Roman" w:cs="Arial" w:ascii="Rubik" w:hAnsi="Rubik"/>
          <w:i/>
          <w:iCs/>
          <w:kern w:val="0"/>
          <w:sz w:val="18"/>
          <w:szCs w:val="18"/>
          <w:lang w:eastAsia="it-IT" w:bidi="ar-SA"/>
        </w:rPr>
        <w:t xml:space="preserve"> hanno già implementato tali sistemi considerando la recente partenza del Portogallo ad Aprile. Altri paesi come Grecia e Regno Unito si aggiungeranno entro il 2027. L'Italia purtroppo non figura ancora tra questi. Auspichiamo pertanto un celere iter parlamentare per le tre proposte di legge per un deposito cauzionale in Italia presentate da tre importanti partiti tra maggioranza e opposizione che sono state assegnate alla Commissione ambiente della Camera. </w:t>
      </w:r>
      <w:r>
        <w:rPr>
          <w:rFonts w:eastAsia="Times New Roman" w:cs="Arial" w:ascii="Rubik" w:hAnsi="Rubik"/>
          <w:kern w:val="0"/>
          <w:sz w:val="18"/>
          <w:szCs w:val="18"/>
          <w:lang w:eastAsia="it-IT" w:bidi="ar-SA"/>
        </w:rPr>
        <w:br/>
        <w:br/>
      </w:r>
      <w:r>
        <w:rPr>
          <w:rFonts w:eastAsia="Times New Roman" w:cs="Arial" w:ascii="Rubik" w:hAnsi="Rubik"/>
          <w:b/>
          <w:bCs/>
          <w:kern w:val="0"/>
          <w:sz w:val="18"/>
          <w:szCs w:val="18"/>
          <w:lang w:eastAsia="it-IT" w:bidi="ar-SA"/>
        </w:rPr>
        <w:t>Silvia Ricci coordinamento Campagna “A Buon Rendere”</w:t>
      </w:r>
      <w:r>
        <w:rPr>
          <w:rFonts w:eastAsia="Times New Roman" w:cs="Arial" w:ascii="Rubik" w:hAnsi="Rubik"/>
          <w:kern w:val="0"/>
          <w:sz w:val="18"/>
          <w:szCs w:val="18"/>
          <w:lang w:eastAsia="it-IT" w:bidi="ar-SA"/>
        </w:rPr>
        <w:br/>
        <w:br/>
      </w:r>
      <w:r>
        <w:rPr>
          <w:rFonts w:eastAsia="Times New Roman" w:cs="Arial" w:ascii="Rubik" w:hAnsi="Rubik"/>
          <w:i/>
          <w:iCs/>
          <w:kern w:val="0"/>
          <w:sz w:val="18"/>
          <w:szCs w:val="18"/>
          <w:lang w:eastAsia="it-IT" w:bidi="ar-SA"/>
        </w:rPr>
        <w:t xml:space="preserve">Nonostante le diverse iniziative da parte di singoli cittadini e associazioni impegnati come Helena Boers a raccogliere rifiuti su tutto il territorio nazionale, i produttori di bevande non stanno ancora supportando pubblicamente un deposito cauzionale. Al contrario in alcuni casi tendono a minimizzare la propria responsabilità, enfatizzando quella dei singoli consumatori "incivili" in campagne ad hoc . In altre occasioni ignorano volutamente l'esistenza di una dispersione nell'ambiente dei contenitori causata dal consumo "on the go".  Intanto il contatore sul sito della campagna ha già superato i due miliardi di contenitori sprecati da inizio 2026 ed è incomprensibile che il settore delle bevande – che gestirebbe il sistema di deposito insieme alla grande distribuzione – non promuova attivamente l'unica soluzione che si è dimostrata efficace nel ridurre drasticamente la dispersione degli imballaggi per bevande, e di raggiungere gli obiettivi europei di raccolta e riciclo. Tanto più se consideriamo che un sistema cauzionale riduce al contempo l’entità della </w:t>
      </w:r>
      <w:r>
        <w:rPr>
          <w:rFonts w:eastAsia="Times New Roman" w:cs="Arial" w:ascii="Rubik" w:hAnsi="Rubik"/>
          <w:b/>
          <w:bCs/>
          <w:i/>
          <w:iCs/>
          <w:kern w:val="0"/>
          <w:sz w:val="18"/>
          <w:szCs w:val="18"/>
          <w:lang w:eastAsia="it-IT" w:bidi="ar-SA"/>
        </w:rPr>
        <w:t>Plastic Tax</w:t>
      </w:r>
      <w:r>
        <w:rPr>
          <w:rFonts w:eastAsia="Times New Roman" w:cs="Arial" w:ascii="Rubik" w:hAnsi="Rubik"/>
          <w:i/>
          <w:iCs/>
          <w:kern w:val="0"/>
          <w:sz w:val="18"/>
          <w:szCs w:val="18"/>
          <w:lang w:eastAsia="it-IT" w:bidi="ar-SA"/>
        </w:rPr>
        <w:t xml:space="preserve"> che paghiamo ogni anno all’Unione Europea per gli imballaggi in plastica che non ricicliamo”.</w:t>
      </w:r>
    </w:p>
    <w:p>
      <w:pPr>
        <w:pStyle w:val="Corpodeltesto"/>
        <w:jc w:val="left"/>
        <w:rPr>
          <w:rFonts w:ascii="Rubik" w:hAnsi="Rubik" w:cs="Arial"/>
        </w:rPr>
      </w:pPr>
      <w:r>
        <w:rPr>
          <w:rFonts w:cs="Arial" w:ascii="Rubik" w:hAnsi="Rubik"/>
          <w:sz w:val="18"/>
          <w:szCs w:val="18"/>
        </w:rPr>
        <w:t xml:space="preserve">-Dal </w:t>
      </w:r>
      <w:hyperlink r:id="rId5">
        <w:r>
          <w:rPr>
            <w:rStyle w:val="CollegamentoInternet"/>
            <w:rFonts w:cs="Arial" w:ascii="Rubik" w:hAnsi="Rubik"/>
            <w:sz w:val="18"/>
            <w:szCs w:val="18"/>
          </w:rPr>
          <w:t>comunicato stampa</w:t>
        </w:r>
      </w:hyperlink>
      <w:r>
        <w:rPr>
          <w:rFonts w:cs="Arial" w:ascii="Rubik" w:hAnsi="Rubik"/>
          <w:sz w:val="18"/>
          <w:szCs w:val="18"/>
        </w:rPr>
        <w:t xml:space="preserve">  pubblicato sul sito si può scaricare</w:t>
      </w:r>
      <w:hyperlink r:id="rId6">
        <w:r>
          <w:rPr>
            <w:rStyle w:val="CollegamentoInternet"/>
            <w:rFonts w:cs="Arial" w:ascii="Rubik" w:hAnsi="Rubik"/>
            <w:sz w:val="18"/>
            <w:szCs w:val="18"/>
          </w:rPr>
          <w:t xml:space="preserve"> la cartella stampa </w:t>
        </w:r>
      </w:hyperlink>
      <w:r>
        <w:rPr>
          <w:rFonts w:cs="Arial" w:ascii="Rubik" w:hAnsi="Rubik"/>
          <w:sz w:val="18"/>
          <w:szCs w:val="18"/>
        </w:rPr>
        <w:t>con immagini e infografiche.</w:t>
      </w:r>
    </w:p>
    <w:p>
      <w:pPr>
        <w:pStyle w:val="Corpodeltesto"/>
        <w:jc w:val="left"/>
        <w:rPr>
          <w:rFonts w:cs="Arial"/>
        </w:rPr>
      </w:pPr>
      <w:r>
        <w:rPr>
          <w:rFonts w:cs="Arial"/>
        </w:rPr>
      </w:r>
    </w:p>
    <w:p>
      <w:pPr>
        <w:pStyle w:val="Corpodeltesto"/>
        <w:jc w:val="left"/>
        <w:rPr>
          <w:rFonts w:ascii="Rubik" w:hAnsi="Rubik" w:cs="Arial"/>
          <w:sz w:val="18"/>
          <w:szCs w:val="18"/>
        </w:rPr>
      </w:pPr>
      <w:r>
        <w:rPr>
          <w:rFonts w:cs="Arial" w:ascii="Rubik" w:hAnsi="Rubik"/>
          <w:sz w:val="18"/>
          <w:szCs w:val="18"/>
        </w:rPr>
      </w:r>
    </w:p>
    <w:p>
      <w:pPr>
        <w:pStyle w:val="Corpodeltesto"/>
        <w:spacing w:before="0" w:after="140"/>
        <w:jc w:val="left"/>
        <w:rPr>
          <w:rFonts w:cs="Arial"/>
          <w:b/>
          <w:b/>
          <w:bCs/>
        </w:rPr>
      </w:pPr>
      <w:r>
        <w:rPr/>
      </w:r>
    </w:p>
    <w:sectPr>
      <w:type w:val="nextPage"/>
      <w:pgSz w:w="11906" w:h="16838"/>
      <w:pgMar w:left="1134" w:right="1134" w:header="0" w:top="1134"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Arial">
    <w:charset w:val="00"/>
    <w:family w:val="roman"/>
    <w:pitch w:val="variable"/>
  </w:font>
  <w:font w:name="Rubik">
    <w:charset w:val="00"/>
    <w:family w:val="roman"/>
    <w:pitch w:val="variable"/>
  </w:font>
</w:fonts>
</file>

<file path=word/settings.xml><?xml version="1.0" encoding="utf-8"?>
<w:settings xmlns:w="http://schemas.openxmlformats.org/wordprocessingml/2006/main">
  <w:zoom w:percent="140"/>
  <w:defaultTabStop w:val="709"/>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it-IT"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Liberation Serif" w:hAnsi="Liberation Serif" w:eastAsia="NSimSun" w:cs="Lucida Sans"/>
      <w:color w:val="auto"/>
      <w:kern w:val="2"/>
      <w:sz w:val="24"/>
      <w:szCs w:val="24"/>
      <w:lang w:val="it-IT" w:eastAsia="zh-CN" w:bidi="hi-IN"/>
    </w:rPr>
  </w:style>
  <w:style w:type="character" w:styleId="DefaultParagraphFont" w:default="1">
    <w:name w:val="Default Paragraph Font"/>
    <w:uiPriority w:val="1"/>
    <w:semiHidden/>
    <w:unhideWhenUsed/>
    <w:qFormat/>
    <w:rPr/>
  </w:style>
  <w:style w:type="character" w:styleId="CollegamentoInternet">
    <w:name w:val="Collegamento Internet"/>
    <w:basedOn w:val="DefaultParagraphFont"/>
    <w:uiPriority w:val="99"/>
    <w:unhideWhenUsed/>
    <w:rsid w:val="00094bc5"/>
    <w:rPr>
      <w:color w:val="0563C1" w:themeColor="hyperlink"/>
      <w:u w:val="single"/>
    </w:rPr>
  </w:style>
  <w:style w:type="character" w:styleId="Enfasiforte" w:customStyle="1">
    <w:name w:val="Enfasi forte"/>
    <w:qFormat/>
    <w:rPr>
      <w:b/>
      <w:bCs/>
    </w:rPr>
  </w:style>
  <w:style w:type="character" w:styleId="Enfasi" w:customStyle="1">
    <w:name w:val="Enfasi"/>
    <w:basedOn w:val="DefaultParagraphFont"/>
    <w:uiPriority w:val="20"/>
    <w:qFormat/>
    <w:rsid w:val="000e1844"/>
    <w:rPr>
      <w:i/>
      <w:iCs/>
    </w:rPr>
  </w:style>
  <w:style w:type="character" w:styleId="TestocommentoCarattere" w:customStyle="1">
    <w:name w:val="Testo commento Carattere"/>
    <w:basedOn w:val="DefaultParagraphFont"/>
    <w:link w:val="Testocommento"/>
    <w:uiPriority w:val="99"/>
    <w:semiHidden/>
    <w:qFormat/>
    <w:rPr>
      <w:rFonts w:cs="Mangal"/>
      <w:sz w:val="20"/>
      <w:szCs w:val="18"/>
    </w:rPr>
  </w:style>
  <w:style w:type="character" w:styleId="Annotationreference">
    <w:name w:val="annotation reference"/>
    <w:basedOn w:val="DefaultParagraphFont"/>
    <w:uiPriority w:val="99"/>
    <w:semiHidden/>
    <w:unhideWhenUsed/>
    <w:qFormat/>
    <w:rPr>
      <w:sz w:val="16"/>
      <w:szCs w:val="16"/>
    </w:rPr>
  </w:style>
  <w:style w:type="character" w:styleId="UnresolvedMention">
    <w:name w:val="Unresolved Mention"/>
    <w:basedOn w:val="DefaultParagraphFont"/>
    <w:uiPriority w:val="99"/>
    <w:semiHidden/>
    <w:unhideWhenUsed/>
    <w:qFormat/>
    <w:rsid w:val="00094bc5"/>
    <w:rPr>
      <w:color w:val="605E5C"/>
      <w:shd w:fill="E1DFDD" w:val="clear"/>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Corpodeltesto"/>
    <w:pPr/>
    <w:rPr/>
  </w:style>
  <w:style w:type="paragraph" w:styleId="Didascalia">
    <w:name w:val="Caption"/>
    <w:basedOn w:val="Normal"/>
    <w:qFormat/>
    <w:pPr>
      <w:suppressLineNumbers/>
      <w:spacing w:before="120" w:after="120"/>
    </w:pPr>
    <w:rPr>
      <w:rFonts w:cs="Lucida Sans"/>
      <w:i/>
      <w:iCs/>
      <w:sz w:val="24"/>
      <w:szCs w:val="24"/>
    </w:rPr>
  </w:style>
  <w:style w:type="paragraph" w:styleId="Indice" w:customStyle="1">
    <w:name w:val="Indice"/>
    <w:basedOn w:val="Normal"/>
    <w:qFormat/>
    <w:pPr>
      <w:suppressLineNumbers/>
    </w:pPr>
    <w:rPr/>
  </w:style>
  <w:style w:type="paragraph" w:styleId="Titoloprincipale">
    <w:name w:val="Title"/>
    <w:basedOn w:val="Normal"/>
    <w:next w:val="Corpodeltesto"/>
    <w:uiPriority w:val="10"/>
    <w:qFormat/>
    <w:pPr>
      <w:keepNext w:val="true"/>
      <w:spacing w:before="240" w:after="120"/>
    </w:pPr>
    <w:rPr>
      <w:rFonts w:ascii="Liberation Sans" w:hAnsi="Liberation Sans" w:eastAsia="Microsoft YaHei"/>
      <w:sz w:val="28"/>
      <w:szCs w:val="28"/>
    </w:rPr>
  </w:style>
  <w:style w:type="paragraph" w:styleId="Caption">
    <w:name w:val="caption"/>
    <w:basedOn w:val="Normal"/>
    <w:qFormat/>
    <w:pPr>
      <w:suppressLineNumbers/>
      <w:spacing w:before="120" w:after="120"/>
    </w:pPr>
    <w:rPr>
      <w:i/>
      <w:iCs/>
    </w:rPr>
  </w:style>
  <w:style w:type="paragraph" w:styleId="Annotationtext">
    <w:name w:val="annotation text"/>
    <w:basedOn w:val="Normal"/>
    <w:link w:val="TestocommentoCarattere"/>
    <w:uiPriority w:val="99"/>
    <w:semiHidden/>
    <w:unhideWhenUsed/>
    <w:qFormat/>
    <w:pPr/>
    <w:rPr>
      <w:rFonts w:cs="Mangal"/>
      <w:sz w:val="20"/>
      <w:szCs w:val="18"/>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buonrendere.it/2025/02/28/quanti-imballaggi-per-bevande-sprechiamo/" TargetMode="External"/><Relationship Id="rId4" Type="http://schemas.openxmlformats.org/officeDocument/2006/relationships/hyperlink" Target="https://buonrendere.it/2025/08/16/il-segreto-del-crying-indian-quando-lindustria-creo-le-campagne-di-pulizia-per-evitare-legislazioni-sgradite/" TargetMode="External"/><Relationship Id="rId5" Type="http://schemas.openxmlformats.org/officeDocument/2006/relationships/hyperlink" Target="https://buonrendere.it/2026/04/19/rifiuti-da-imballaggi-per-bevande-un-brand-audit-nel-milanese-svela-i-marchi-top-ten-nel-littering-e-sollecita-un-sistema-di-deposito-cauzionale-2/" TargetMode="External"/><Relationship Id="rId6" Type="http://schemas.openxmlformats.org/officeDocument/2006/relationships/hyperlink" Target="Leggi qui il comunicato stampa online e per scaricare la cartella stampa con le infografiche clicca qui." TargetMode="Externa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Application>LibreOffice/7.0.4.2$Windows_X86_64 LibreOffice_project/dcf040e67528d9187c66b2379df5ea4407429775</Application>
  <AppVersion>15.0000</AppVersion>
  <Pages>2</Pages>
  <Words>1189</Words>
  <Characters>6763</Characters>
  <CharactersWithSpaces>7975</CharactersWithSpaces>
  <Paragraphs>10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2025-09-16T13:19:00Z</dcterms:created>
  <dc:creator>Microsoft Office User</dc:creator>
  <dc:description/>
  <dc:language>it-IT</dc:language>
  <cp:lastModifiedBy/>
  <dcterms:modified xsi:type="dcterms:W3CDTF">2026-04-19T20:02:40Z</dcterms:modified>
  <cp:revision>9</cp:revision>
  <dc:subject/>
  <dc:title/>
</cp:coreProperties>
</file>

<file path=docProps/custom.xml><?xml version="1.0" encoding="utf-8"?>
<Properties xmlns="http://schemas.openxmlformats.org/officeDocument/2006/custom-properties" xmlns:vt="http://schemas.openxmlformats.org/officeDocument/2006/docPropsVTypes"/>
</file>